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F8950" w14:textId="77777777" w:rsidR="007D52CD" w:rsidRDefault="007D52CD" w:rsidP="007D52CD">
      <w:pPr>
        <w:jc w:val="both"/>
        <w:rPr>
          <w:rFonts w:ascii="Times New Roman" w:eastAsia="Times New Roman" w:hAnsi="Times New Roman"/>
          <w:b/>
          <w:sz w:val="28"/>
          <w:lang w:val="ru-RU"/>
        </w:rPr>
      </w:pPr>
      <w:r w:rsidRPr="007D5BB0">
        <w:rPr>
          <w:rFonts w:ascii="Times New Roman" w:hAnsi="Times New Roman"/>
          <w:sz w:val="32"/>
          <w:szCs w:val="32"/>
          <w:lang w:val="ru-RU"/>
        </w:rPr>
        <w:t xml:space="preserve">Лекция </w:t>
      </w:r>
      <w:r>
        <w:rPr>
          <w:rFonts w:ascii="Times New Roman" w:hAnsi="Times New Roman"/>
          <w:sz w:val="32"/>
          <w:szCs w:val="32"/>
          <w:lang w:val="ru-RU"/>
        </w:rPr>
        <w:t xml:space="preserve">9 </w:t>
      </w:r>
      <w:r w:rsidRPr="007D5BB0">
        <w:rPr>
          <w:rFonts w:ascii="Times New Roman" w:hAnsi="Times New Roman"/>
          <w:sz w:val="32"/>
          <w:szCs w:val="32"/>
          <w:lang w:val="ru-RU"/>
        </w:rPr>
        <w:t>- 1</w:t>
      </w:r>
      <w:r>
        <w:rPr>
          <w:rFonts w:ascii="Times New Roman" w:hAnsi="Times New Roman"/>
          <w:sz w:val="32"/>
          <w:szCs w:val="32"/>
          <w:lang w:val="ru-RU"/>
        </w:rPr>
        <w:t xml:space="preserve">5  </w:t>
      </w:r>
      <w:r w:rsidRPr="007D5BB0">
        <w:rPr>
          <w:rFonts w:ascii="Times New Roman" w:eastAsia="Times New Roman" w:hAnsi="Times New Roman"/>
          <w:b/>
          <w:sz w:val="28"/>
          <w:lang w:val="ru-RU"/>
        </w:rPr>
        <w:t xml:space="preserve"> Тема 3    Химическое равновесие</w:t>
      </w:r>
    </w:p>
    <w:p w14:paraId="3B33BCDF" w14:textId="77777777" w:rsidR="007D52CD" w:rsidRPr="007D5BB0" w:rsidRDefault="007D52CD" w:rsidP="007D52CD">
      <w:pPr>
        <w:jc w:val="both"/>
        <w:rPr>
          <w:rFonts w:ascii="Times New Roman" w:eastAsia="Times New Roman" w:hAnsi="Times New Roman"/>
          <w:b/>
          <w:sz w:val="28"/>
          <w:lang w:val="ru-RU"/>
        </w:rPr>
      </w:pPr>
    </w:p>
    <w:p w14:paraId="4AE185C3" w14:textId="77777777" w:rsidR="007D52CD" w:rsidRDefault="007D52CD" w:rsidP="007D52CD">
      <w:pPr>
        <w:jc w:val="both"/>
        <w:rPr>
          <w:rFonts w:ascii="Times New Roman" w:eastAsia="Times New Roman" w:hAnsi="Times New Roman"/>
          <w:b/>
          <w:sz w:val="28"/>
          <w:lang w:val="ru-RU"/>
        </w:rPr>
      </w:pPr>
      <w:r w:rsidRPr="007D5BB0">
        <w:rPr>
          <w:rFonts w:ascii="Times New Roman" w:eastAsia="Times New Roman" w:hAnsi="Times New Roman"/>
          <w:b/>
          <w:sz w:val="28"/>
          <w:lang w:val="ru-RU"/>
        </w:rPr>
        <w:t xml:space="preserve">Принцип Ле Шателье </w:t>
      </w:r>
      <w:r w:rsidRPr="007D5BB0">
        <w:rPr>
          <w:rFonts w:ascii="Times New Roman" w:eastAsia="Times New Roman" w:hAnsi="Times New Roman"/>
          <w:bCs/>
          <w:sz w:val="28"/>
          <w:lang w:val="ru-RU"/>
        </w:rPr>
        <w:t xml:space="preserve">при управлении технологическим регламентом металлургических процессов.     </w:t>
      </w:r>
      <w:r w:rsidRPr="007D5BB0">
        <w:rPr>
          <w:rFonts w:ascii="Times New Roman" w:eastAsia="Times New Roman" w:hAnsi="Times New Roman"/>
          <w:b/>
          <w:sz w:val="28"/>
          <w:lang w:val="ru-RU"/>
        </w:rPr>
        <w:t>Неделя 5</w:t>
      </w:r>
      <w:r>
        <w:rPr>
          <w:rFonts w:ascii="Times New Roman" w:eastAsia="Times New Roman" w:hAnsi="Times New Roman"/>
          <w:b/>
          <w:sz w:val="28"/>
          <w:lang w:val="ru-RU"/>
        </w:rPr>
        <w:t>-7</w:t>
      </w:r>
    </w:p>
    <w:p w14:paraId="48D5600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b/>
          <w:bCs/>
          <w:szCs w:val="24"/>
          <w:lang w:val="ru-RU"/>
        </w:rPr>
      </w:pPr>
    </w:p>
    <w:p w14:paraId="3CD1023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Cs w:val="24"/>
          <w:lang w:val="ru-RU"/>
        </w:rPr>
      </w:pPr>
    </w:p>
    <w:p w14:paraId="394F01D9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Cs w:val="24"/>
          <w:lang w:val="ru-RU"/>
        </w:rPr>
      </w:pPr>
    </w:p>
    <w:p w14:paraId="2706C411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Cs w:val="24"/>
          <w:lang w:val="ru-RU"/>
        </w:rPr>
      </w:pPr>
      <w:r w:rsidRPr="00CB3598">
        <w:rPr>
          <w:rFonts w:ascii="TimesNewRomanPSMT" w:eastAsia="Times New Roman" w:hAnsi="TimesNewRomanPSMT" w:cs="TimesNewRomanPSMT"/>
          <w:szCs w:val="24"/>
          <w:lang w:val="ru-RU"/>
        </w:rPr>
        <w:t xml:space="preserve"> Практически все металлургические процессы получения, разделения и рафинирования металлов являются гетерогенными, включающими как одну из фаз газовую атмосферу, которая может быть нейтральной либо реакционной.</w:t>
      </w:r>
    </w:p>
    <w:p w14:paraId="499C78A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Cs w:val="24"/>
          <w:lang w:val="ru-RU"/>
        </w:rPr>
      </w:pPr>
      <w:r w:rsidRPr="00CB3598">
        <w:rPr>
          <w:rFonts w:ascii="TimesNewRomanPSMT" w:eastAsia="Times New Roman" w:hAnsi="TimesNewRomanPSMT" w:cs="TimesNewRomanPSMT"/>
          <w:szCs w:val="24"/>
          <w:lang w:val="ru-RU"/>
        </w:rPr>
        <w:t>Условием активного взаимодействия газовой атмосферы с конденсированными фазами является ее высокая температура и состав, соответствующий химическому характеру проводимого процесса – выщелачивания, окисления, восстановления, галогенирования, сульфатизации, азотирования, дегазации.</w:t>
      </w:r>
    </w:p>
    <w:p w14:paraId="12CE36A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Cs w:val="24"/>
          <w:lang w:val="ru-RU"/>
        </w:rPr>
      </w:pPr>
      <w:r w:rsidRPr="00CB3598">
        <w:rPr>
          <w:rFonts w:ascii="TimesNewRomanPSMT" w:eastAsia="Times New Roman" w:hAnsi="TimesNewRomanPSMT" w:cs="TimesNewRomanPSMT"/>
          <w:szCs w:val="24"/>
          <w:lang w:val="ru-RU"/>
        </w:rPr>
        <w:t xml:space="preserve"> </w:t>
      </w:r>
    </w:p>
    <w:p w14:paraId="0C145CA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Calibri" w:eastAsia="Times New Roman" w:hAnsi="Calibri" w:cs="ArialMT"/>
          <w:szCs w:val="24"/>
          <w:lang w:val="ru-RU"/>
        </w:rPr>
        <w:t xml:space="preserve">         </w:t>
      </w:r>
      <w:r w:rsidRPr="00CB3598">
        <w:rPr>
          <w:rFonts w:ascii="Calibri" w:eastAsia="Times New Roman" w:hAnsi="Calibri" w:cs="ArialMT"/>
          <w:b/>
          <w:bCs/>
          <w:sz w:val="28"/>
          <w:szCs w:val="28"/>
          <w:lang w:val="ru-RU"/>
        </w:rPr>
        <w:t xml:space="preserve">Обязательно знать и </w:t>
      </w:r>
      <w:proofErr w:type="gramStart"/>
      <w:r w:rsidRPr="00CB3598">
        <w:rPr>
          <w:rFonts w:ascii="Calibri" w:eastAsia="Times New Roman" w:hAnsi="Calibri" w:cs="ArialMT"/>
          <w:b/>
          <w:bCs/>
          <w:sz w:val="28"/>
          <w:szCs w:val="28"/>
          <w:lang w:val="ru-RU"/>
        </w:rPr>
        <w:t>понимать.</w:t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Термодинамические</w:t>
      </w:r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характеристики. Критериями направленности технологических процессов являются термодинамические потенциалы (энтальпия, внутренняя энергия, энергии Гельмгольца и Гиббса) при постоянстве их естественных переменных. В электрохимических гидрометаллургических системах важным критерием направленности процессов являются электродные потенциалы окислительно-восстановительных </w:t>
      </w:r>
      <w:proofErr w:type="gram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систем.В</w:t>
      </w:r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соответствии с первым и вторым началом термодинамики в каждом состоянии системы сохраняется взаимосвязь термодинамических функций: энтальпии (Н), энтропии (S) и свободной энергии Гиббса (G) при постоянных Т и Р:</w:t>
      </w:r>
    </w:p>
    <w:p w14:paraId="0433F374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</w:p>
    <w:p w14:paraId="580F48C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 xml:space="preserve">            ΔG = ΔH – TΔS</w:t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</w:r>
    </w:p>
    <w:p w14:paraId="5D672D5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720"/>
        <w:rPr>
          <w:rFonts w:ascii="TimesNewRomanPSMT" w:eastAsia="Times New Roman" w:hAnsi="TimesNewRomanPSMT" w:cs="TimesNewRomanPSMT"/>
          <w:b/>
          <w:bCs/>
          <w:szCs w:val="24"/>
          <w:lang w:val="ru-RU"/>
        </w:rPr>
      </w:pPr>
    </w:p>
    <w:p w14:paraId="5A434DE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ΔG </w:t>
      </w:r>
      <w:proofErr w:type="gram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&lt; 0</w:t>
      </w:r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процесс протекает самопроизвольно в прямом ( ) направлении</w:t>
      </w:r>
    </w:p>
    <w:p w14:paraId="631074F3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 xml:space="preserve">ΔG </w:t>
      </w:r>
      <w:proofErr w:type="gram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&lt; 0</w:t>
      </w:r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процесс самопроизволен (химическое) равновесие (при равенстве скоростей прямой и обратной реакций).</w:t>
      </w:r>
    </w:p>
    <w:p w14:paraId="09638CE9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>Изменение энтальпии в уравнении (2) называют энтальпийным фактором процесса, а выражение «ТΔS» - энтропийным фактором общего критерия (ΔG) при оценке направленности процесса.</w:t>
      </w:r>
    </w:p>
    <w:p w14:paraId="4B21791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 xml:space="preserve">Самопроизвольному процессу способствует сочетание условий: ΔН </w:t>
      </w:r>
      <w:proofErr w:type="gram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&lt; 0</w:t>
      </w:r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; ΔS &gt; 0.</w:t>
      </w:r>
    </w:p>
    <w:p w14:paraId="5E2E8AB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>Реакции, для которых Δ</w:t>
      </w:r>
      <w:proofErr w:type="gramStart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Н &gt;</w:t>
      </w:r>
      <w:proofErr w:type="gramEnd"/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 xml:space="preserve"> 0; ΔS &lt; 0 термодинамически невозможны. Таким образом, разные знаки ΔН и ΔS свидетельствуют о термодинамической возможности лишь односторонних процессов, а одинаковые знаки ΔН и ΔS указывают на возможность протекания процесса как в прямом, так и в обратном направлении; если факторы (ΔН) и (ТΔS) соизмеримы по абсолютной величине, то реакция практически обратима; критерием равновесия служит равенство:</w:t>
      </w:r>
    </w:p>
    <w:p w14:paraId="3A8D87B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ΔН = ТΔS;</w:t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>(2</w:t>
      </w:r>
    </w:p>
    <w:p w14:paraId="629D735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>ΔG = 0.</w:t>
      </w:r>
    </w:p>
    <w:p w14:paraId="4D5FB3D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ArialMT" w:eastAsia="Times New Roman" w:hAnsi="ArialMT" w:cs="ArialMT"/>
          <w:b/>
          <w:bCs/>
          <w:szCs w:val="24"/>
          <w:lang w:val="ru-RU"/>
        </w:rPr>
      </w:pP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tab/>
        <w:t xml:space="preserve">В частных случаях, когда ΔS = 0, критерием термодинамической возможности процесса служит энтальпийный фактор (знак и величина теплового эффекта процесса); при ΔН = 0 критерием служит энтропийный фактор. Таким образом, изоэнтропийные процессы могут быть только экзотермическими, а изоэнтальпийные самопроизвольно </w:t>
      </w:r>
      <w:r w:rsidRPr="00CB3598">
        <w:rPr>
          <w:rFonts w:ascii="ArialMT" w:eastAsia="Times New Roman" w:hAnsi="ArialMT" w:cs="ArialMT"/>
          <w:b/>
          <w:bCs/>
          <w:szCs w:val="24"/>
          <w:lang w:val="ru-RU"/>
        </w:rPr>
        <w:lastRenderedPageBreak/>
        <w:t>протекают с ростом энтропии</w:t>
      </w:r>
    </w:p>
    <w:p w14:paraId="6B831F03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Cs w:val="24"/>
          <w:lang w:val="ru-RU"/>
        </w:rPr>
        <w:t xml:space="preserve">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Химический потенциал универсальным образом выражает условия термодинамического равновесия систем:</w:t>
      </w:r>
    </w:p>
    <w:p w14:paraId="2049A31D" w14:textId="77777777" w:rsidR="007D52CD" w:rsidRPr="00CB3598" w:rsidRDefault="007D52CD" w:rsidP="007D52CD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условие фазового равновесия – химические потенциалы каждого из компонентов во всех фазах, в которых этот компонент присутствует, одинаковы;</w:t>
      </w:r>
    </w:p>
    <w:p w14:paraId="44034E1A" w14:textId="77777777" w:rsidR="007D52CD" w:rsidRPr="00CB3598" w:rsidRDefault="007D52CD" w:rsidP="007D52CD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условие химического равновесия – в любой химической реакции сумма произведений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ì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i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всех участвующих в реакции веществ на их стехиометрические коэффициенты равна нулю: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Óõ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i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ì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i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=0;</w:t>
      </w:r>
    </w:p>
    <w:p w14:paraId="4DD8089F" w14:textId="77777777" w:rsidR="007D52CD" w:rsidRPr="00CB3598" w:rsidRDefault="007D52CD" w:rsidP="007D52CD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условие равновесия в гомогенной системе -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ì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i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любого из компонентов во всех точках системы одинаковы. Связь стандартной энергии Гиббса с константой химического равновесия определяется уравнением нормального сродства:</w:t>
      </w:r>
    </w:p>
    <w:p w14:paraId="73CF990B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7E2F40AA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- RTlnk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 xml:space="preserve">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 + RTlnk*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>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  1 /  k*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 xml:space="preserve"> </w:t>
      </w:r>
    </w:p>
    <w:p w14:paraId="75D0BBC1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360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63BFE10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в котором константа химического равновесия выражена через равновесные парциальные давления участников реакции в газообразном состоянии:</w:t>
      </w:r>
    </w:p>
    <w:p w14:paraId="5327FA5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FBBDC0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аА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(газ)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bB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(газ)</w:t>
      </w:r>
      <w:r w:rsidRPr="00CB3598">
        <w:rPr>
          <w:rFonts w:ascii="Symbol" w:eastAsia="Times New Roman" w:hAnsi="Symbol" w:cs="Symbol"/>
          <w:sz w:val="28"/>
          <w:szCs w:val="28"/>
          <w:vertAlign w:val="superscript"/>
          <w:lang w:val="ru-RU"/>
        </w:rPr>
        <w:t>←</w:t>
      </w:r>
      <w:r w:rsidRPr="00CB3598">
        <w:rPr>
          <w:rFonts w:ascii="Symbol" w:eastAsia="Times New Roman" w:hAnsi="Symbol" w:cs="Symbol"/>
          <w:sz w:val="28"/>
          <w:szCs w:val="28"/>
          <w:vertAlign w:val="subscript"/>
          <w:lang w:val="ru-RU"/>
        </w:rPr>
        <w:t>→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rR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(газ)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dD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(газ)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</w:p>
    <w:p w14:paraId="24F5057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43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66E0331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где 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–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выражена  в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атм  (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n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≠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0),  безразмерная величина (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 = 0)</w:t>
      </w:r>
    </w:p>
    <w:p w14:paraId="42142F40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</w:t>
      </w:r>
    </w:p>
    <w:p w14:paraId="1B6591C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8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 = (r + d) – (a + b)</w:t>
      </w:r>
    </w:p>
    <w:p w14:paraId="2297405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1F8CEFE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При отрицательных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значениях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>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равновесие смещено в направлении прямой реакции; при положительном значении     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 xml:space="preserve">ΔGо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равновесие смещено в сторону обратной реакции; выход продуктов реакции оценивается знаком и абсолютной величиной  в стандартных условиях. Термодинамическая возможность протекания реакции в условиях, отличающихся от стандартных, определяется по уравнению изотермы Вант-Гоффа:</w:t>
      </w:r>
    </w:p>
    <w:p w14:paraId="7CDD1D2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49B45B00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16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</w:p>
    <w:p w14:paraId="2713F654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Уменьшение энергии Гиббса при переходе от исходного состояния к равновесному указывает на термодинамическую возможность протекания реакции в прямом направлении; система находится в равновесии,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если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>G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равно нулю.</w:t>
      </w:r>
    </w:p>
    <w:p w14:paraId="43DDBA80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При использовании системы единиц СИ, выражая парциальные давления и 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р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в Н/м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perscript"/>
          <w:lang w:val="ru-RU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(паскалях)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связь  EMBED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Equation.3   и 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р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будет представлена уравнением:</w:t>
      </w:r>
    </w:p>
    <w:p w14:paraId="2C488D01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7656244B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16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nRTln(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1,01325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×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10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perscript"/>
          <w:lang w:val="ru-RU"/>
        </w:rPr>
        <w:t>5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) - RTlnk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p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,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 xml:space="preserve">   </w:t>
      </w:r>
    </w:p>
    <w:p w14:paraId="61BB55A5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6AD1734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lastRenderedPageBreak/>
        <w:t xml:space="preserve">где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 – изменение числа молей газообразных компонентов реакции.</w:t>
      </w:r>
    </w:p>
    <w:p w14:paraId="004070EB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Метод комбинирования уравнений для вычисления температурной зависимости  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M + NT удобно использовать при наличии табличных значений М и N для реакций, комбинации которых позволяют получать искомую зависимость в заданном интервале температур.</w:t>
      </w:r>
    </w:p>
    <w:p w14:paraId="4338A03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Например, для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определения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>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f(T) в виде двучленного уравнения для реакции:</w:t>
      </w:r>
    </w:p>
    <w:p w14:paraId="6E683F31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04D2CC5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      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>2Mn + MnO + 3/2O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 = 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</w:rPr>
        <w:t>3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>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</w:rPr>
        <w:t>4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+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</w:rPr>
        <w:t>G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ab/>
        <w:t>(1)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ab/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ab/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ab/>
      </w:r>
    </w:p>
    <w:p w14:paraId="1BBB3FA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</w:p>
    <w:p w14:paraId="7986E64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по данным таблицы А2 приложения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А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>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= M + NT</w:t>
      </w:r>
    </w:p>
    <w:p w14:paraId="473E0DF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2AB59A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1440"/>
        <w:jc w:val="center"/>
        <w:rPr>
          <w:rFonts w:ascii="TimesNewRomanPSMT" w:eastAsia="Times New Roman" w:hAnsi="TimesNewRomanPSMT" w:cs="TimesNewRomanPSMT"/>
          <w:b/>
          <w:bCs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(тв)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+ 1/2O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MnO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(тв)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= -385186 + 73,73T</w:t>
      </w:r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lang w:val="ru-RU"/>
        </w:rPr>
        <w:t xml:space="preserve"> (2)  </w:t>
      </w:r>
    </w:p>
    <w:p w14:paraId="729C5FF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7419AACA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144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3Mn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(тв)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+ 2O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3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4(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тв)   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 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= -1385412 + 350,6T (3)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 xml:space="preserve">    </w:t>
      </w:r>
    </w:p>
    <w:p w14:paraId="17BA0C8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144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577F8EB4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в интервале температур,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К  [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298-1516]</w:t>
      </w:r>
    </w:p>
    <w:p w14:paraId="53926C4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351A8C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5EC5B0B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Реакция (1) получается вычитанием (3)-(2), значит  </w:t>
      </w:r>
    </w:p>
    <w:p w14:paraId="61193A10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1FD572F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5AA96BCA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                  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1) =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(3)--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(2) = (-1385412 + 385186) + +(350,6 – 73,73)Т  = -1000226 + 276,870Т;</w:t>
      </w:r>
    </w:p>
    <w:p w14:paraId="3099055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для температур (298-1516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),К.</w:t>
      </w:r>
      <w:proofErr w:type="gramEnd"/>
    </w:p>
    <w:p w14:paraId="796EB61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274C883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</w:pP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lang w:val="ru-RU"/>
        </w:rPr>
        <w:t xml:space="preserve">  (</w:t>
      </w:r>
      <w:proofErr w:type="gramEnd"/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lang w:val="ru-RU"/>
        </w:rPr>
        <w:t>1) = -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1000226 + 276870 = -723356 Дж/мольMn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3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4</w:t>
      </w:r>
    </w:p>
    <w:p w14:paraId="3E137DFA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b/>
          <w:bCs/>
          <w:sz w:val="28"/>
          <w:szCs w:val="28"/>
          <w:vertAlign w:val="subscript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 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при  1000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 К</w:t>
      </w:r>
    </w:p>
    <w:p w14:paraId="0CD4B64A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5761FFE3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средние значения энтальпии и энтропии реакции (1), соответственно:</w:t>
      </w:r>
    </w:p>
    <w:p w14:paraId="65A27A7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2541CAC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</w:pP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ΔHо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= -1000226 Дж/мольMn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3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4</w:t>
      </w:r>
    </w:p>
    <w:p w14:paraId="680D0510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</w:pPr>
    </w:p>
    <w:p w14:paraId="56882FAC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ΔS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-276,87 Дж/( мольMn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3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 xml:space="preserve">4 </w:t>
      </w:r>
      <w:r w:rsidRPr="00CB3598">
        <w:rPr>
          <w:rFonts w:ascii="LucidaGrande" w:eastAsia="Times New Roman" w:hAnsi="LucidaGrande" w:cs="LucidaGrande"/>
          <w:sz w:val="28"/>
          <w:szCs w:val="28"/>
          <w:lang w:val="ru-RU"/>
        </w:rPr>
        <w:t>*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К)</w:t>
      </w:r>
    </w:p>
    <w:p w14:paraId="4199B2C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406D29BB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Для определения энтальпии и энтропии фазового превращения </w:t>
      </w:r>
    </w:p>
    <w:p w14:paraId="36E6BAC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4C9962C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b/>
          <w:bCs/>
          <w:sz w:val="28"/>
          <w:szCs w:val="28"/>
          <w:vertAlign w:val="superscript"/>
          <w:lang w:val="ru-RU"/>
        </w:rPr>
      </w:pPr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lang w:val="ru-RU"/>
        </w:rPr>
        <w:t>Со</w:t>
      </w:r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vertAlign w:val="subscript"/>
          <w:lang w:val="ru-RU"/>
        </w:rPr>
        <w:t>(</w:t>
      </w:r>
      <w:proofErr w:type="gramStart"/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vertAlign w:val="subscript"/>
          <w:lang w:val="ru-RU"/>
        </w:rPr>
        <w:t>тв)  =</w:t>
      </w:r>
      <w:proofErr w:type="gramEnd"/>
      <w:r w:rsidRPr="00CB3598">
        <w:rPr>
          <w:rFonts w:ascii="TimesNewRomanPSMT" w:eastAsia="Times New Roman" w:hAnsi="TimesNewRomanPSMT" w:cs="TimesNewRomanPSMT"/>
          <w:b/>
          <w:bCs/>
          <w:sz w:val="28"/>
          <w:szCs w:val="28"/>
          <w:vertAlign w:val="subscript"/>
          <w:lang w:val="ru-RU"/>
        </w:rPr>
        <w:t xml:space="preserve">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ж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Н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пл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perscript"/>
          <w:lang w:val="ru-RU"/>
        </w:rPr>
        <w:t>0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,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S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пл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perscript"/>
          <w:lang w:val="ru-RU"/>
        </w:rPr>
        <w:t>0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,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G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пл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perscript"/>
          <w:lang w:val="ru-RU"/>
        </w:rPr>
        <w:t>0</w:t>
      </w:r>
    </w:p>
    <w:p w14:paraId="337036E1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72F6187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при 1776 К воспользуемся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данными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</w:t>
      </w:r>
      <w:proofErr w:type="gramEnd"/>
      <w:r w:rsidRPr="00CB3598">
        <w:rPr>
          <w:rFonts w:ascii="ArialMT" w:eastAsia="Times New Roman" w:hAnsi="ArialMT" w:cs="ArialMT"/>
          <w:sz w:val="28"/>
          <w:szCs w:val="28"/>
          <w:lang w:val="ru-RU"/>
        </w:rPr>
        <w:t>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= M + NT  таблицы А2</w:t>
      </w:r>
    </w:p>
    <w:p w14:paraId="6616BA45" w14:textId="77777777" w:rsidR="007D52CD" w:rsidRPr="00CB3598" w:rsidRDefault="007D52CD" w:rsidP="007D52CD">
      <w:pPr>
        <w:widowControl w:val="0"/>
        <w:autoSpaceDE w:val="0"/>
        <w:autoSpaceDN w:val="0"/>
        <w:adjustRightInd w:val="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10F4C5E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16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ТВ)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+ 1/2O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СоО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(тв)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ab/>
        <w:t xml:space="preserve"> (4)</w:t>
      </w:r>
    </w:p>
    <w:p w14:paraId="19590AC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88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 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ж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+ 1/2O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2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СоО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(тв)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 xml:space="preserve">ΔGо                    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 xml:space="preserve"> 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5)</w:t>
      </w:r>
    </w:p>
    <w:p w14:paraId="07FF68A9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88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6C5ED23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288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lastRenderedPageBreak/>
        <w:t>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(тв)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→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ж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+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 xml:space="preserve">ΔGо                                               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 xml:space="preserve">   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6)</w:t>
      </w:r>
    </w:p>
    <w:p w14:paraId="0CB46CD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00C13A1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(6) = (4) – (5)</w:t>
      </w:r>
    </w:p>
    <w:p w14:paraId="0FDF76F4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0AE3314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 </w:t>
      </w: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(-237319+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261884)+(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71,92-85,83)Т= +24565-13,91Т=24565-13,91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××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1766 = 0</w:t>
      </w:r>
    </w:p>
    <w:p w14:paraId="48E55BF3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2205467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F6E1D66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</w:p>
    <w:p w14:paraId="7E6AB2C9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ΔG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 (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(тв)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→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ж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) = 24565Дж/моль;</w:t>
      </w:r>
    </w:p>
    <w:p w14:paraId="5E59B5F7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center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32A6A2C4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Calibri" w:eastAsia="Times New Roman" w:hAnsi="Calibri" w:cs="TimesNewRomanPSMT"/>
          <w:sz w:val="28"/>
          <w:szCs w:val="28"/>
          <w:lang w:val="ru-RU"/>
        </w:rPr>
      </w:pPr>
      <w:r w:rsidRPr="00CB3598">
        <w:rPr>
          <w:rFonts w:ascii="ArialMT" w:eastAsia="Times New Roman" w:hAnsi="ArialMT" w:cs="ArialMT"/>
          <w:sz w:val="28"/>
          <w:szCs w:val="28"/>
          <w:lang w:val="ru-RU"/>
        </w:rPr>
        <w:t>ΔS</w:t>
      </w:r>
      <w:proofErr w:type="gramStart"/>
      <w:r w:rsidRPr="00CB3598">
        <w:rPr>
          <w:rFonts w:ascii="ArialMT" w:eastAsia="Times New Roman" w:hAnsi="ArialMT" w:cs="ArialMT"/>
          <w:sz w:val="28"/>
          <w:szCs w:val="28"/>
          <w:lang w:val="ru-RU"/>
        </w:rPr>
        <w:t>о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( Со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(тв)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→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Со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ж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) = +13,91Дж/(моль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×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К).</w:t>
      </w:r>
    </w:p>
    <w:p w14:paraId="3DBF117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left="540" w:hanging="540"/>
        <w:rPr>
          <w:rFonts w:ascii="Calibri" w:eastAsia="Times New Roman" w:hAnsi="Calibri" w:cs="TimesNewRomanPSMT"/>
          <w:sz w:val="28"/>
          <w:szCs w:val="28"/>
          <w:lang w:val="ru-RU"/>
        </w:rPr>
      </w:pPr>
    </w:p>
    <w:p w14:paraId="660E0162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Степень полноты протекания процесса,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т.е.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положение равновесия в системе можно изменить в соответствии с принципом Ле Шателье – Брауна. Изменение любого из параметров, определяющих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положение  равновесия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системы, находящейся в равновесии, усилит то из направлений процесса, которое ослабляет влияние произведенного воздействия.</w:t>
      </w:r>
    </w:p>
    <w:p w14:paraId="4257EFC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положение  равновесия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14:paraId="42979E8F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</w:p>
    <w:p w14:paraId="4DAA9CEE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14:paraId="25532D28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 Т=idem.</w:t>
      </w:r>
    </w:p>
    <w:p w14:paraId="02F81115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Вакуумирование системы (уменьшение давления) при постоянном объеме равнозначно уменьшению давления при увеличении объема, т.к. уменьшается молярная 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концентрация  всех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компонентов, что приведет к смешению равновесия в сторону большего числа молей газовой смеси (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≠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0).</w:t>
      </w:r>
    </w:p>
    <w:p w14:paraId="01B3F2ED" w14:textId="77777777" w:rsidR="007D52CD" w:rsidRPr="00CB3598" w:rsidRDefault="007D52CD" w:rsidP="007D52CD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  <w:lang w:val="ru-RU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При введении инертного газа в систему (Р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  <w:lang w:val="ru-RU"/>
        </w:rPr>
        <w:t>общ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 xml:space="preserve"> = idem) происходит разбавление реакционной газовой смеси, что равноценно увеличению объема и смещение при 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Ä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n</w:t>
      </w:r>
      <w:r w:rsidRPr="00CB3598">
        <w:rPr>
          <w:rFonts w:ascii="Symbol" w:eastAsia="Times New Roman" w:hAnsi="Symbol" w:cs="Symbol"/>
          <w:sz w:val="28"/>
          <w:szCs w:val="28"/>
          <w:lang w:val="ru-RU"/>
        </w:rPr>
        <w:t>≠</w:t>
      </w:r>
      <w:r w:rsidRPr="00CB3598">
        <w:rPr>
          <w:rFonts w:ascii="TimesNewRomanPSMT" w:eastAsia="Times New Roman" w:hAnsi="TimesNewRomanPSMT" w:cs="TimesNewRomanPSMT"/>
          <w:sz w:val="28"/>
          <w:szCs w:val="28"/>
          <w:lang w:val="ru-RU"/>
        </w:rPr>
        <w:t>0 произойдет в сторону большего числа молей газообразных компонентов.</w:t>
      </w:r>
    </w:p>
    <w:p w14:paraId="4BFFE7F1" w14:textId="77777777" w:rsidR="003323FE" w:rsidRPr="007D52CD" w:rsidRDefault="003323FE">
      <w:pPr>
        <w:rPr>
          <w:lang w:val="ru-RU"/>
        </w:rPr>
      </w:pPr>
    </w:p>
    <w:sectPr w:rsidR="003323FE" w:rsidRPr="007D52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Grande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25A"/>
    <w:rsid w:val="003323FE"/>
    <w:rsid w:val="0071325A"/>
    <w:rsid w:val="007D5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9F1DC6-449F-44ED-AB62-D3666AFDA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52CD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1123</Words>
  <Characters>6407</Characters>
  <Application>Microsoft Office Word</Application>
  <DocSecurity>0</DocSecurity>
  <Lines>53</Lines>
  <Paragraphs>15</Paragraphs>
  <ScaleCrop>false</ScaleCrop>
  <Company/>
  <LinksUpToDate>false</LinksUpToDate>
  <CharactersWithSpaces>7515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Реутова</dc:creator>
  <cp:keywords/>
  <dc:description/>
  <cp:lastModifiedBy>Галина Реутова</cp:lastModifiedBy>
  <cp:revision>2</cp:revision>
  <dcterms:created xsi:type="dcterms:W3CDTF">2021-01-21T02:23:00Z</dcterms:created>
  <dcterms:modified xsi:type="dcterms:W3CDTF">2021-01-21T02:24:00Z</dcterms:modified>
</cp:coreProperties>
</file>